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27" w:rsidRPr="008D23E3" w:rsidRDefault="00085327" w:rsidP="003C5B75">
      <w:pPr>
        <w:pStyle w:val="En-ttedetabledesmatires"/>
        <w:jc w:val="right"/>
        <w:outlineLvl w:val="0"/>
        <w:rPr>
          <w:b w:val="0"/>
          <w:bCs w:val="0"/>
          <w:color w:val="auto"/>
          <w:rtl/>
          <w:lang w:bidi="ar-DZ"/>
        </w:rPr>
      </w:pPr>
      <w:r>
        <w:rPr>
          <w:rFonts w:hint="cs"/>
          <w:b w:val="0"/>
          <w:bCs w:val="0"/>
          <w:color w:val="auto"/>
          <w:rtl/>
          <w:lang w:bidi="ar-DZ"/>
        </w:rPr>
        <w:t>فهرس المصادر والمراجع:</w:t>
      </w:r>
    </w:p>
    <w:p w:rsidR="00085327" w:rsidRPr="00A77B84" w:rsidRDefault="00085327" w:rsidP="00085327">
      <w:pPr>
        <w:pStyle w:val="Notedebasdepage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1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</w:t>
      </w:r>
      <w:r w:rsidRPr="00A77B84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ابن منظور 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( محمد بن مكرم بن منظور الأفريقي)،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>لسان العرب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،مجلد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1 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،دار صادر 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>–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بيروت،الطبعة الأولى</w:t>
      </w:r>
    </w:p>
    <w:p w:rsidR="00226398" w:rsidRPr="00A77B84" w:rsidRDefault="00085327" w:rsidP="00226398">
      <w:pPr>
        <w:pStyle w:val="Notedebasdepage"/>
        <w:rPr>
          <w:rFonts w:ascii="Traditional Arabic" w:hAnsi="Traditional Arabic" w:cs="Traditional Arabic"/>
          <w:sz w:val="34"/>
          <w:szCs w:val="34"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2-</w:t>
      </w:r>
      <w:r w:rsidR="00226398" w:rsidRPr="00A77B84">
        <w:rPr>
          <w:rFonts w:ascii="Traditional Arabic" w:hAnsi="Traditional Arabic" w:cs="Traditional Arabic"/>
          <w:sz w:val="34"/>
          <w:szCs w:val="34"/>
          <w:rtl/>
        </w:rPr>
        <w:t xml:space="preserve"> الزركشي</w:t>
      </w:r>
      <w:r w:rsidR="00226398" w:rsidRPr="00A77B84">
        <w:rPr>
          <w:rFonts w:ascii="Traditional Arabic" w:hAnsi="Traditional Arabic" w:cs="Traditional Arabic" w:hint="cs"/>
          <w:sz w:val="34"/>
          <w:szCs w:val="34"/>
          <w:rtl/>
        </w:rPr>
        <w:t xml:space="preserve">، (بدرالدين محمد بن عبد الله بن بهادر الزركشي)، </w:t>
      </w:r>
      <w:r w:rsidR="00226398" w:rsidRPr="00A77B84">
        <w:rPr>
          <w:rFonts w:ascii="Traditional Arabic" w:hAnsi="Traditional Arabic" w:cs="Traditional Arabic"/>
          <w:sz w:val="34"/>
          <w:szCs w:val="34"/>
          <w:rtl/>
        </w:rPr>
        <w:t>البرهان في علوم القرآن</w:t>
      </w:r>
      <w:r w:rsidR="00226398" w:rsidRPr="00A77B84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p w:rsidR="00226398" w:rsidRPr="00A77B84" w:rsidRDefault="00226398" w:rsidP="00226398">
      <w:pPr>
        <w:pStyle w:val="Notedebasdepage"/>
        <w:rPr>
          <w:rFonts w:ascii="Traditional Arabic" w:hAnsi="Traditional Arabic" w:cs="Traditional Arabic"/>
          <w:sz w:val="34"/>
          <w:szCs w:val="34"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</w:rPr>
        <w:t xml:space="preserve">3-  </w:t>
      </w:r>
      <w:r w:rsidRPr="00A77B84">
        <w:rPr>
          <w:rFonts w:ascii="Traditional Arabic" w:hAnsi="Traditional Arabic" w:cs="Traditional Arabic"/>
          <w:sz w:val="34"/>
          <w:szCs w:val="34"/>
          <w:rtl/>
        </w:rPr>
        <w:t>ابن الجزري</w:t>
      </w:r>
      <w:r w:rsidRPr="00A77B84">
        <w:rPr>
          <w:rFonts w:ascii="Traditional Arabic" w:hAnsi="Traditional Arabic" w:cs="Traditional Arabic" w:hint="cs"/>
          <w:sz w:val="34"/>
          <w:szCs w:val="34"/>
          <w:rtl/>
        </w:rPr>
        <w:t xml:space="preserve">،(محمد بن محمد ) </w:t>
      </w:r>
      <w:r w:rsidRPr="00A77B84">
        <w:rPr>
          <w:rFonts w:ascii="Traditional Arabic" w:hAnsi="Traditional Arabic" w:cs="Traditional Arabic"/>
          <w:sz w:val="34"/>
          <w:szCs w:val="34"/>
          <w:rtl/>
        </w:rPr>
        <w:t>منجد المقرئين ومرشد الطالبين.</w:t>
      </w:r>
    </w:p>
    <w:p w:rsidR="00226398" w:rsidRPr="00A77B84" w:rsidRDefault="00226398" w:rsidP="003904C1">
      <w:pPr>
        <w:pStyle w:val="Notedebasdepage"/>
        <w:rPr>
          <w:rFonts w:ascii="Traditional Arabic" w:hAnsi="Traditional Arabic" w:cs="Traditional Arabic"/>
          <w:sz w:val="34"/>
          <w:szCs w:val="34"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4</w:t>
      </w:r>
      <w:r w:rsidRPr="00A77B84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A77B84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A77B84">
        <w:rPr>
          <w:rFonts w:ascii="Traditional Arabic" w:hAnsi="Traditional Arabic" w:cs="Traditional Arabic"/>
          <w:sz w:val="34"/>
          <w:szCs w:val="34"/>
          <w:rtl/>
        </w:rPr>
        <w:t>السيوطي</w:t>
      </w:r>
      <w:r w:rsidRPr="00A77B84">
        <w:rPr>
          <w:rFonts w:ascii="Traditional Arabic" w:hAnsi="Traditional Arabic" w:cs="Traditional Arabic" w:hint="cs"/>
          <w:sz w:val="34"/>
          <w:szCs w:val="34"/>
          <w:rtl/>
        </w:rPr>
        <w:t>(عبد الرحمن بن كمال جلال الدين السيوطي الشافعي)،</w:t>
      </w:r>
      <w:r w:rsidRPr="00A77B84">
        <w:rPr>
          <w:rFonts w:ascii="Traditional Arabic" w:hAnsi="Traditional Arabic" w:cs="Traditional Arabic"/>
          <w:sz w:val="34"/>
          <w:szCs w:val="34"/>
          <w:rtl/>
        </w:rPr>
        <w:t xml:space="preserve"> الإتقان في علوم القرآن</w:t>
      </w:r>
      <w:r w:rsidRPr="00A77B84">
        <w:rPr>
          <w:rFonts w:ascii="Traditional Arabic" w:hAnsi="Traditional Arabic" w:cs="Traditional Arabic" w:hint="cs"/>
          <w:sz w:val="34"/>
          <w:szCs w:val="34"/>
          <w:rtl/>
        </w:rPr>
        <w:t xml:space="preserve"> ،تحقيق مركزالدراسات القرآنية،مجمع الملك فهد لطباعة المصحف الشريف، المدينة المنورة،1426ه</w:t>
      </w:r>
    </w:p>
    <w:p w:rsidR="003904C1" w:rsidRPr="00A77B84" w:rsidRDefault="00226398" w:rsidP="003904C1">
      <w:pPr>
        <w:pStyle w:val="Notedebasdepage"/>
        <w:rPr>
          <w:rFonts w:ascii="Traditional Arabic" w:hAnsi="Traditional Arabic" w:cs="Traditional Arabic"/>
          <w:sz w:val="34"/>
          <w:szCs w:val="34"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5-</w:t>
      </w:r>
      <w:r w:rsidRPr="00A77B84">
        <w:rPr>
          <w:rFonts w:ascii="Traditional Arabic" w:hAnsi="Traditional Arabic" w:cs="Traditional Arabic"/>
          <w:sz w:val="34"/>
          <w:szCs w:val="34"/>
          <w:rtl/>
          <w:lang w:val="fr-FR" w:bidi="ar-DZ"/>
        </w:rPr>
        <w:t xml:space="preserve"> </w:t>
      </w:r>
      <w:r w:rsidR="003904C1"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السرخسي، </w:t>
      </w:r>
      <w:r w:rsidR="003904C1" w:rsidRPr="00A77B84">
        <w:rPr>
          <w:rFonts w:ascii="Traditional Arabic" w:hAnsi="Traditional Arabic" w:cs="Traditional Arabic"/>
          <w:sz w:val="34"/>
          <w:szCs w:val="34"/>
          <w:lang w:bidi="ar-DZ"/>
        </w:rPr>
        <w:t>)</w:t>
      </w:r>
      <w:r w:rsidR="003904C1"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شمس الدين أبو بكر محمد بن أبي سهل </w:t>
      </w:r>
      <w:r w:rsidR="003904C1"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>السرخسي</w:t>
      </w:r>
      <w:r w:rsidR="003904C1"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)، أصول السرخسي، دار الكتاب العلمية بيروت ط/1، 1414ه-1993م.</w:t>
      </w:r>
    </w:p>
    <w:p w:rsidR="00085327" w:rsidRPr="00A77B84" w:rsidRDefault="003904C1" w:rsidP="00EF1DB8">
      <w:pPr>
        <w:pStyle w:val="Notedebasdepage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6-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>ابن أمير الحاج (ت879هـ )، التقرير و التحرير في علم الأصول ،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 دار الفكر 1417ه-1996م،بيروت.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السمعاني، (منصور بن محمد بن عبد الجبارالسمعاني التميمي الحنفي ثم الشافعي )، قواطع الأدلة 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،دار الكتب العلمية،بيروت ط/1، 1418ه/1999م</w:t>
      </w:r>
    </w:p>
    <w:p w:rsidR="00EF1DB8" w:rsidRPr="00A77B84" w:rsidRDefault="00EF1DB8" w:rsidP="00EF1DB8">
      <w:pPr>
        <w:pStyle w:val="Notedebasdepage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7-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صحيح الإمام مسلم بشرح النووي.</w:t>
      </w:r>
    </w:p>
    <w:p w:rsidR="00EF1DB8" w:rsidRPr="00A77B84" w:rsidRDefault="00EF1DB8" w:rsidP="00EF1DB8">
      <w:pPr>
        <w:pStyle w:val="Notedebasdepage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8</w:t>
      </w:r>
      <w:r w:rsidRPr="00A77B84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>عبد الله الشافعي،( بدر الدين محمد بن سهاو ربن عبد الله الشافعي)</w:t>
      </w:r>
    </w:p>
    <w:p w:rsidR="00EF1DB8" w:rsidRPr="00A77B84" w:rsidRDefault="00EF1DB8" w:rsidP="00EF1DB8">
      <w:pPr>
        <w:pStyle w:val="Notedebasdepage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9-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الزرقاني، شرح الموطأ.</w:t>
      </w:r>
    </w:p>
    <w:p w:rsidR="00EF1DB8" w:rsidRPr="00A77B84" w:rsidRDefault="00EF1DB8" w:rsidP="00EF1DB8">
      <w:pPr>
        <w:pStyle w:val="Notedebasdepage"/>
        <w:rPr>
          <w:rFonts w:ascii="Traditional Arabic" w:hAnsi="Traditional Arabic" w:cs="Traditional Arabic"/>
          <w:sz w:val="34"/>
          <w:szCs w:val="34"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10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- ابن الحاجب 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(جمال الدين أبو عمرو عثمان)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>، منتهى الوصول.</w:t>
      </w:r>
    </w:p>
    <w:p w:rsidR="00EF1DB8" w:rsidRPr="00A77B84" w:rsidRDefault="00EF1DB8" w:rsidP="00EF1DB8">
      <w:pPr>
        <w:pStyle w:val="Notedebasdepage"/>
        <w:rPr>
          <w:rFonts w:ascii="Traditional Arabic" w:hAnsi="Traditional Arabic" w:cs="Traditional Arabic"/>
          <w:sz w:val="34"/>
          <w:szCs w:val="34"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</w:rPr>
        <w:t>11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>-الإمام مالك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(مالك بن أنس بن مالك بن عامر الأصبحي)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الموطأ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،دار النشر.</w:t>
      </w:r>
    </w:p>
    <w:p w:rsidR="00EF1DB8" w:rsidRPr="00A77B84" w:rsidRDefault="00EF1DB8" w:rsidP="00EF1DB8">
      <w:pPr>
        <w:pStyle w:val="Notedebasdepage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12-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الجويني (عبد الملك بن عبد الله بن يوسف الجويني أبو المعالي ) ، البرهان في أصول الفقه، </w:t>
      </w:r>
    </w:p>
    <w:p w:rsidR="00EF1DB8" w:rsidRPr="00A77B84" w:rsidRDefault="00EF1DB8" w:rsidP="00EF1DB8">
      <w:pPr>
        <w:pStyle w:val="Notedebasdepage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</w:rPr>
        <w:t>13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>- الغزالي( الإمام أبي حامد محمد بن محمد الغزالي)، المنخول.</w:t>
      </w:r>
    </w:p>
    <w:p w:rsidR="00EF1DB8" w:rsidRPr="00A77B84" w:rsidRDefault="00EF1DB8" w:rsidP="00EF1DB8">
      <w:pPr>
        <w:pStyle w:val="Notedebasdepage"/>
        <w:rPr>
          <w:rFonts w:ascii="Traditional Arabic" w:hAnsi="Traditional Arabic" w:cs="Traditional Arabic"/>
          <w:sz w:val="34"/>
          <w:szCs w:val="34"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</w:rPr>
        <w:t>14</w:t>
      </w:r>
      <w:r w:rsidRPr="00A77B84">
        <w:rPr>
          <w:rFonts w:ascii="Traditional Arabic" w:hAnsi="Traditional Arabic" w:cs="Traditional Arabic"/>
          <w:sz w:val="34"/>
          <w:szCs w:val="34"/>
          <w:rtl/>
        </w:rPr>
        <w:t>-</w:t>
      </w:r>
      <w:r w:rsidRPr="00A77B84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A77B84">
        <w:rPr>
          <w:rFonts w:ascii="Traditional Arabic" w:hAnsi="Traditional Arabic" w:cs="Traditional Arabic"/>
          <w:sz w:val="34"/>
          <w:szCs w:val="34"/>
          <w:rtl/>
        </w:rPr>
        <w:t>ابن عربي،(أبو بكر محمد بن عبد الله)،أحكام القرآن.</w:t>
      </w:r>
    </w:p>
    <w:p w:rsidR="009C0484" w:rsidRPr="00A77B84" w:rsidRDefault="00EF1DB8" w:rsidP="00EF1DB8">
      <w:pPr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</w:rPr>
        <w:t>15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>-الأندلسي، (علي بن أحمد بن حزم الأندلسي)، الإحكام في أصول الأحكام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.</w:t>
      </w:r>
    </w:p>
    <w:p w:rsidR="00EF1DB8" w:rsidRPr="00A77B84" w:rsidRDefault="00EF1DB8" w:rsidP="00EF1DB8">
      <w:pPr>
        <w:pStyle w:val="Notedebasdepage"/>
        <w:rPr>
          <w:rFonts w:ascii="Traditional Arabic" w:hAnsi="Traditional Arabic" w:cs="Traditional Arabic"/>
          <w:sz w:val="34"/>
          <w:szCs w:val="34"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16- الزركشي،(بدر الدين محمد بن عبد الله بن بهادر الزركشي)االبرهان .</w:t>
      </w:r>
    </w:p>
    <w:p w:rsidR="00EF1DB8" w:rsidRPr="00A77B84" w:rsidRDefault="00EF1DB8" w:rsidP="00EF1DB8">
      <w:pPr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</w:rPr>
        <w:t>17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-الإمام مسلم( أبو الحسين مسلم بن الحجاج بن مسلم القشيري)،صحيح الإمام مسلم بشرح النووي.</w:t>
      </w:r>
    </w:p>
    <w:p w:rsidR="00EF1DB8" w:rsidRPr="00A77B84" w:rsidRDefault="00EF1DB8" w:rsidP="00066E91">
      <w:pPr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18-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ابن النجار ،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(تقي الدين أبو البقاء محمد بن أحمد الفتوحي )</w:t>
      </w:r>
      <w:r w:rsidR="00066E91"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شرح الكوكب المنير</w:t>
      </w:r>
      <w:r w:rsidR="00066E91"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،ط/1، 1413ه.</w:t>
      </w:r>
    </w:p>
    <w:p w:rsidR="00066E91" w:rsidRPr="00A77B84" w:rsidRDefault="00066E91" w:rsidP="00066E91">
      <w:pPr>
        <w:pStyle w:val="Notedebasdepage"/>
        <w:rPr>
          <w:rFonts w:ascii="Traditional Arabic" w:hAnsi="Traditional Arabic" w:cs="Traditional Arabic"/>
          <w:sz w:val="34"/>
          <w:szCs w:val="34"/>
          <w:rtl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19-</w:t>
      </w:r>
      <w:r w:rsidRPr="00A77B84">
        <w:rPr>
          <w:rFonts w:ascii="Traditional Arabic" w:hAnsi="Traditional Arabic" w:cs="Traditional Arabic" w:hint="cs"/>
          <w:sz w:val="34"/>
          <w:szCs w:val="34"/>
          <w:rtl/>
        </w:rPr>
        <w:t xml:space="preserve"> بن حزم ،(علي بن أحمد بن حزم الأندلسي)، </w:t>
      </w:r>
      <w:r w:rsidRPr="00A77B84">
        <w:rPr>
          <w:rFonts w:ascii="Traditional Arabic" w:hAnsi="Traditional Arabic" w:cs="Traditional Arabic"/>
          <w:sz w:val="34"/>
          <w:szCs w:val="34"/>
          <w:rtl/>
        </w:rPr>
        <w:t xml:space="preserve">الإحكام في أصول الإحكام </w:t>
      </w:r>
      <w:r w:rsidRPr="00A77B84">
        <w:rPr>
          <w:rFonts w:ascii="Traditional Arabic" w:hAnsi="Traditional Arabic" w:cs="Traditional Arabic" w:hint="cs"/>
          <w:sz w:val="34"/>
          <w:szCs w:val="34"/>
          <w:rtl/>
        </w:rPr>
        <w:t>،ط/1 1404ه.</w:t>
      </w:r>
    </w:p>
    <w:p w:rsidR="00066E91" w:rsidRPr="00A77B84" w:rsidRDefault="00066E91" w:rsidP="00066E91">
      <w:pPr>
        <w:pStyle w:val="Notedebasdepage"/>
        <w:rPr>
          <w:rFonts w:ascii="Traditional Arabic" w:hAnsi="Traditional Arabic" w:cs="Traditional Arabic"/>
          <w:sz w:val="34"/>
          <w:szCs w:val="34"/>
          <w:rtl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</w:rPr>
        <w:lastRenderedPageBreak/>
        <w:t>20- القراءات الشاذة ضوابطها والاحتجاج بها في الفقه والعربية .</w:t>
      </w:r>
    </w:p>
    <w:p w:rsidR="00066E91" w:rsidRPr="00A77B84" w:rsidRDefault="00066E91" w:rsidP="00066E91">
      <w:pPr>
        <w:pStyle w:val="Notedebasdepage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</w:rPr>
        <w:t>21-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بن امير (امير بن الحاج )،التقرير والتحبير،</w:t>
      </w:r>
    </w:p>
    <w:p w:rsidR="00066E91" w:rsidRPr="00A77B84" w:rsidRDefault="00066E91" w:rsidP="00066E91">
      <w:pPr>
        <w:pStyle w:val="Notedebasdepage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</w:rPr>
        <w:t xml:space="preserve"> 22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-المرداوي(علي بن سليمان) ،الكوكب المنير،بدون طبع.</w:t>
      </w:r>
    </w:p>
    <w:p w:rsidR="00066E91" w:rsidRPr="00A77B84" w:rsidRDefault="00066E91" w:rsidP="00066E91">
      <w:pPr>
        <w:pStyle w:val="Notedebasdepage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23- المستصفى(محمد بن محمد الغزالي أبو حامد)، المستصفى في علم الأصول، دار الكتب العلمية ،بيروت.</w:t>
      </w:r>
    </w:p>
    <w:p w:rsidR="00066E91" w:rsidRPr="00A77B84" w:rsidRDefault="00066E91" w:rsidP="00066E91">
      <w:pPr>
        <w:pStyle w:val="Notedebasdepage"/>
        <w:rPr>
          <w:rFonts w:ascii="Traditional Arabic" w:hAnsi="Traditional Arabic" w:cs="Traditional Arabic"/>
          <w:sz w:val="34"/>
          <w:szCs w:val="34"/>
          <w:rtl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24-</w:t>
      </w:r>
      <w:r w:rsidRPr="00A77B84">
        <w:rPr>
          <w:rFonts w:ascii="Traditional Arabic" w:hAnsi="Traditional Arabic" w:cs="Traditional Arabic" w:hint="cs"/>
          <w:sz w:val="34"/>
          <w:szCs w:val="34"/>
          <w:rtl/>
        </w:rPr>
        <w:t xml:space="preserve"> القراءات الشاذة ضوابطها والاحتجاج بها في الفقه والعربية ،دار ابن عفان،ط/1،1429ه/2008م.</w:t>
      </w:r>
    </w:p>
    <w:p w:rsidR="00066E91" w:rsidRPr="00A77B84" w:rsidRDefault="00066E91" w:rsidP="00066E91">
      <w:pPr>
        <w:pStyle w:val="Notedebasdepage"/>
        <w:rPr>
          <w:rFonts w:ascii="Traditional Arabic" w:hAnsi="Traditional Arabic" w:cs="Traditional Arabic"/>
          <w:sz w:val="34"/>
          <w:szCs w:val="34"/>
          <w:rtl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</w:rPr>
        <w:t>25-</w:t>
      </w:r>
      <w:r w:rsidR="00FD1D5B" w:rsidRPr="00A77B84">
        <w:rPr>
          <w:rFonts w:ascii="Traditional Arabic" w:hAnsi="Traditional Arabic" w:cs="Traditional Arabic" w:hint="cs"/>
          <w:sz w:val="34"/>
          <w:szCs w:val="34"/>
          <w:rtl/>
        </w:rPr>
        <w:t xml:space="preserve"> ابن الجني (أبو الفتح عثمان ابن الجني)، المحتسب في تبيين وجوه شواذ القراءات والإيضاح عنها.</w:t>
      </w:r>
    </w:p>
    <w:p w:rsidR="00FD1D5B" w:rsidRPr="00A77B84" w:rsidRDefault="00FD1D5B" w:rsidP="00FD1D5B">
      <w:pPr>
        <w:pStyle w:val="Notedebasdepage"/>
        <w:rPr>
          <w:rFonts w:ascii="Traditional Arabic" w:hAnsi="Traditional Arabic" w:cs="Traditional Arabic"/>
          <w:sz w:val="34"/>
          <w:szCs w:val="34"/>
          <w:rtl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</w:rPr>
        <w:t>26-</w:t>
      </w:r>
      <w:r w:rsidRPr="00A77B84">
        <w:rPr>
          <w:rFonts w:ascii="Traditional Arabic" w:hAnsi="Traditional Arabic" w:cs="Traditional Arabic"/>
          <w:sz w:val="34"/>
          <w:szCs w:val="34"/>
          <w:rtl/>
        </w:rPr>
        <w:t xml:space="preserve"> النحوي،( أثير الدين محمد بن يوسف ) تفسير البحر المحيط.</w:t>
      </w:r>
      <w:r w:rsidRPr="00A77B84">
        <w:rPr>
          <w:rFonts w:ascii="Traditional Arabic" w:hAnsi="Traditional Arabic" w:cs="Traditional Arabic" w:hint="cs"/>
          <w:sz w:val="34"/>
          <w:szCs w:val="34"/>
          <w:rtl/>
        </w:rPr>
        <w:t xml:space="preserve"> دار الكتب العلمية </w:t>
      </w:r>
      <w:r w:rsidRPr="00A77B84">
        <w:rPr>
          <w:rFonts w:ascii="Traditional Arabic" w:hAnsi="Traditional Arabic" w:cs="Traditional Arabic"/>
          <w:sz w:val="34"/>
          <w:szCs w:val="34"/>
          <w:rtl/>
        </w:rPr>
        <w:t>–</w:t>
      </w:r>
      <w:r w:rsidRPr="00A77B84">
        <w:rPr>
          <w:rFonts w:ascii="Traditional Arabic" w:hAnsi="Traditional Arabic" w:cs="Traditional Arabic" w:hint="cs"/>
          <w:sz w:val="34"/>
          <w:szCs w:val="34"/>
          <w:rtl/>
        </w:rPr>
        <w:t>لبنان-1422ه-2001م،ط/1.</w:t>
      </w:r>
    </w:p>
    <w:p w:rsidR="00FD1D5B" w:rsidRPr="00A77B84" w:rsidRDefault="00FD1D5B" w:rsidP="00FD1D5B">
      <w:pPr>
        <w:pStyle w:val="Notedebasdepage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</w:rPr>
        <w:t>27-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النووي (محي الدين أبو زكريا يحي ابن شرف النووي)،المجموع شرح المهذب</w:t>
      </w:r>
    </w:p>
    <w:p w:rsidR="00F44EB7" w:rsidRPr="00A77B84" w:rsidRDefault="00F44EB7" w:rsidP="00FD1D5B">
      <w:pPr>
        <w:pStyle w:val="Notedebasdepage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28-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الشوكاني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(محمد بن علي بن محمد الشوكاني) 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>،نيل الأوطار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شرح منتقى اللأخبار من أحاديث سيد الأخيار.</w:t>
      </w:r>
    </w:p>
    <w:p w:rsidR="00F44EB7" w:rsidRPr="00A77B84" w:rsidRDefault="00F44EB7" w:rsidP="00A77B84">
      <w:pPr>
        <w:pStyle w:val="Notedebasdepage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29-</w:t>
      </w:r>
      <w:r w:rsidR="00A77B84"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الشوكاني ( محمد بن علي بن محمد الشوكاني)، إر</w:t>
      </w:r>
      <w:r w:rsidR="00A77B84"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ش</w:t>
      </w:r>
      <w:r w:rsidR="00A77B84"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>اد الفحول</w:t>
      </w:r>
      <w:r w:rsidR="00A77B84"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،دار الكتاب العربي،ط/1، 1419ه/1999م.</w:t>
      </w:r>
    </w:p>
    <w:p w:rsidR="00A77B84" w:rsidRPr="00A77B84" w:rsidRDefault="00A77B84" w:rsidP="00A77B84">
      <w:pPr>
        <w:pStyle w:val="Notedebasdepage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30-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عثيمين،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(محمد بن صالح بن محمد العثيمين)</w:t>
      </w:r>
      <w:r w:rsidRPr="00A77B84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الشرح الممتع على زاد المستنقع،</w:t>
      </w:r>
      <w:r w:rsidRPr="00A77B84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دار ابن الجوزي،ط/1، 1422ه.</w:t>
      </w:r>
    </w:p>
    <w:p w:rsidR="00A77B84" w:rsidRPr="00A77B84" w:rsidRDefault="00A77B84" w:rsidP="00A77B84">
      <w:pPr>
        <w:pStyle w:val="Notedebasdepage"/>
        <w:rPr>
          <w:rFonts w:ascii="Traditional Arabic" w:hAnsi="Traditional Arabic" w:cs="Traditional Arabic"/>
          <w:sz w:val="34"/>
          <w:szCs w:val="34"/>
          <w:lang w:bidi="ar-DZ"/>
        </w:rPr>
      </w:pPr>
    </w:p>
    <w:p w:rsidR="00FD1D5B" w:rsidRPr="00FD1D5B" w:rsidRDefault="00FD1D5B" w:rsidP="00066E91">
      <w:pPr>
        <w:pStyle w:val="Notedebasdepage"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066E91" w:rsidRPr="00066E91" w:rsidRDefault="00066E91" w:rsidP="00066E91">
      <w:pPr>
        <w:pStyle w:val="Notedebasdepage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066E91" w:rsidRPr="00E81879" w:rsidRDefault="00066E91" w:rsidP="00066E91">
      <w:pPr>
        <w:pStyle w:val="Notedebasdepage"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066E91" w:rsidRPr="00E81879" w:rsidRDefault="00066E91" w:rsidP="00066E91">
      <w:pPr>
        <w:pStyle w:val="Notedebasdepage"/>
        <w:rPr>
          <w:lang w:bidi="ar-DZ"/>
        </w:rPr>
      </w:pPr>
    </w:p>
    <w:p w:rsidR="00066E91" w:rsidRPr="00066E91" w:rsidRDefault="00066E91" w:rsidP="00066E91">
      <w:pPr>
        <w:rPr>
          <w:rFonts w:ascii="Traditional Arabic" w:hAnsi="Traditional Arabic" w:cs="Traditional Arabic"/>
          <w:sz w:val="34"/>
          <w:szCs w:val="34"/>
          <w:lang w:bidi="ar-DZ"/>
        </w:rPr>
      </w:pPr>
    </w:p>
    <w:sectPr w:rsidR="00066E91" w:rsidRPr="00066E91" w:rsidSect="000C4C4F">
      <w:headerReference w:type="default" r:id="rId7"/>
      <w:footerReference w:type="default" r:id="rId8"/>
      <w:footnotePr>
        <w:numRestart w:val="eachPage"/>
      </w:footnotePr>
      <w:pgSz w:w="11906" w:h="16838" w:code="9"/>
      <w:pgMar w:top="1134" w:right="170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E0F" w:rsidRDefault="00487E0F" w:rsidP="009B5865">
      <w:r>
        <w:separator/>
      </w:r>
    </w:p>
  </w:endnote>
  <w:endnote w:type="continuationSeparator" w:id="1">
    <w:p w:rsidR="00487E0F" w:rsidRDefault="00487E0F" w:rsidP="009B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4F" w:rsidRDefault="001511C1">
    <w:pPr>
      <w:pStyle w:val="Pieddepage"/>
    </w:pPr>
    <w:r w:rsidRPr="001511C1">
      <w:rPr>
        <w:rFonts w:ascii="Cambria" w:hAnsi="Cambria"/>
        <w:noProof/>
        <w:sz w:val="28"/>
        <w:szCs w:val="28"/>
        <w:lang w:eastAsia="zh-TW"/>
      </w:rPr>
      <w:pict>
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<v:stroke joinstyle="miter"/>
          <v:formulas>
            <v:f eqn="sum 10800 0 #0"/>
            <v:f eqn="prod @0 32488 32768"/>
            <v:f eqn="prod @0 4277 32768"/>
            <v:f eqn="prod @0 30274 32768"/>
            <v:f eqn="prod @0 12540 32768"/>
            <v:f eqn="prod @0 25997 32768"/>
            <v:f eqn="prod @0 19948 32768"/>
            <v:f eqn="sum @1 10800 0"/>
            <v:f eqn="sum @2 10800 0"/>
            <v:f eqn="sum @3 10800 0"/>
            <v:f eqn="sum @4 10800 0"/>
            <v:f eqn="sum @5 10800 0"/>
            <v:f eqn="sum @6 10800 0"/>
            <v:f eqn="sum 10800 0 @1"/>
            <v:f eqn="sum 10800 0 @2"/>
            <v:f eqn="sum 10800 0 @3"/>
            <v:f eqn="sum 10800 0 @4"/>
            <v:f eqn="sum 10800 0 @5"/>
            <v:f eqn="sum 10800 0 @6"/>
            <v:f eqn="prod @0 23170 32768"/>
            <v:f eqn="sum @19 10800 0"/>
            <v:f eqn="sum 10800 0 @19"/>
          </v:formulas>
          <v:path gradientshapeok="t" o:connecttype="rect" textboxrect="@21,@21,@20,@20"/>
          <v:handles>
            <v:h position="#0,center" xrange="0,10800"/>
          </v:handles>
        </v:shapetype>
        <v:shape id="_x0000_s1025" type="#_x0000_t92" style="position:absolute;left:0;text-align:left;margin-left:266.2pt;margin-top:797.3pt;width:48.8pt;height:33.35pt;rotation:360;z-index:251660288;mso-position-horizontal-relative:page;mso-position-vertical-relative:page" strokecolor="#a5a5a5">
          <v:textbox>
            <w:txbxContent>
              <w:p w:rsidR="000C4C4F" w:rsidRDefault="001511C1">
                <w:pPr>
                  <w:jc w:val="center"/>
                  <w:rPr>
                    <w:lang w:val="fr-FR"/>
                  </w:rPr>
                </w:pPr>
                <w:r>
                  <w:rPr>
                    <w:lang w:val="fr-FR"/>
                  </w:rPr>
                  <w:fldChar w:fldCharType="begin"/>
                </w:r>
                <w:r w:rsidR="00405DAF">
                  <w:rPr>
                    <w:lang w:val="fr-FR"/>
                  </w:rPr>
                  <w:instrText xml:space="preserve"> PAGE    \* MERGEFORMAT </w:instrText>
                </w:r>
                <w:r>
                  <w:rPr>
                    <w:lang w:val="fr-FR"/>
                  </w:rPr>
                  <w:fldChar w:fldCharType="separate"/>
                </w:r>
                <w:r w:rsidR="003C5B75" w:rsidRPr="003C5B75">
                  <w:rPr>
                    <w:noProof/>
                    <w:color w:val="7F7F7F"/>
                    <w:rtl/>
                  </w:rPr>
                  <w:t>1</w:t>
                </w:r>
                <w:r>
                  <w:rPr>
                    <w:lang w:val="fr-FR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E0F" w:rsidRDefault="00487E0F" w:rsidP="009B5865">
      <w:r>
        <w:separator/>
      </w:r>
    </w:p>
  </w:footnote>
  <w:footnote w:type="continuationSeparator" w:id="1">
    <w:p w:rsidR="00487E0F" w:rsidRDefault="00487E0F" w:rsidP="009B5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DF" w:rsidRPr="008B3536" w:rsidRDefault="00405DAF" w:rsidP="000878AE">
    <w:pPr>
      <w:pStyle w:val="En-tte"/>
      <w:jc w:val="center"/>
      <w:rPr>
        <w:rFonts w:cs="Andalus"/>
        <w:b/>
        <w:bCs/>
        <w:sz w:val="32"/>
        <w:szCs w:val="32"/>
        <w:lang w:bidi="ar-DZ"/>
      </w:rPr>
    </w:pPr>
    <w:r>
      <w:rPr>
        <w:rFonts w:cs="Andalus" w:hint="cs"/>
        <w:b/>
        <w:bCs/>
        <w:sz w:val="32"/>
        <w:szCs w:val="32"/>
        <w:rtl/>
        <w:lang w:bidi="ar-DZ"/>
      </w:rPr>
      <w:tab/>
      <w:t xml:space="preserve">              </w:t>
    </w:r>
    <w:r>
      <w:rPr>
        <w:rFonts w:cs="Andalus" w:hint="cs"/>
        <w:b/>
        <w:bCs/>
        <w:sz w:val="32"/>
        <w:szCs w:val="32"/>
        <w:rtl/>
        <w:lang w:bidi="ar-DZ"/>
      </w:rPr>
      <w:tab/>
      <w:t xml:space="preserve">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085327"/>
    <w:rsid w:val="00066E91"/>
    <w:rsid w:val="00085327"/>
    <w:rsid w:val="001511C1"/>
    <w:rsid w:val="00226398"/>
    <w:rsid w:val="003904C1"/>
    <w:rsid w:val="003C5B75"/>
    <w:rsid w:val="00405DAF"/>
    <w:rsid w:val="00487E0F"/>
    <w:rsid w:val="009B5865"/>
    <w:rsid w:val="009C0484"/>
    <w:rsid w:val="00A77B84"/>
    <w:rsid w:val="00A9365D"/>
    <w:rsid w:val="00EF1DB8"/>
    <w:rsid w:val="00F44EB7"/>
    <w:rsid w:val="00FD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853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853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853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853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53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08532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8532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085327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085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85327"/>
    <w:pPr>
      <w:bidi w:val="0"/>
      <w:spacing w:line="276" w:lineRule="auto"/>
      <w:outlineLvl w:val="9"/>
    </w:pPr>
    <w:rPr>
      <w:rFonts w:ascii="Cambria" w:eastAsia="Times New Roman" w:hAnsi="Cambria" w:cs="Times New Roman"/>
      <w:color w:val="365F91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1289-C1FB-49CB-B4DC-2C2E68A1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2013-06-04T18:00:00Z</dcterms:created>
  <dcterms:modified xsi:type="dcterms:W3CDTF">2013-06-04T22:25:00Z</dcterms:modified>
</cp:coreProperties>
</file>